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1" w:leftChars="-94" w:hanging="16" w:hangingChars="6"/>
        <w:jc w:val="right"/>
        <w:rPr>
          <w:sz w:val="28"/>
          <w:szCs w:val="28"/>
        </w:rPr>
      </w:pPr>
    </w:p>
    <w:p>
      <w:pPr>
        <w:ind w:left="-171" w:leftChars="-94" w:hanging="26" w:hangingChars="6"/>
        <w:jc w:val="center"/>
        <w:rPr>
          <w:rFonts w:ascii="华文中宋" w:hAnsi="华文中宋" w:eastAsia="华文中宋" w:cs="宋体"/>
          <w:kern w:val="0"/>
          <w:sz w:val="44"/>
          <w:szCs w:val="44"/>
        </w:rPr>
      </w:pPr>
      <w:r>
        <w:rPr>
          <w:rFonts w:ascii="Times New Roman" w:hAnsi="Times New Roman" w:eastAsia="华文中宋" w:cs="Times New Roman"/>
          <w:kern w:val="0"/>
          <w:sz w:val="44"/>
          <w:szCs w:val="44"/>
        </w:rPr>
        <w:t>201</w:t>
      </w:r>
      <w:r>
        <w:rPr>
          <w:rFonts w:hint="eastAsia" w:ascii="Times New Roman" w:hAnsi="Times New Roman" w:eastAsia="华文中宋" w:cs="Times New Roman"/>
          <w:kern w:val="0"/>
          <w:sz w:val="44"/>
          <w:szCs w:val="44"/>
          <w:lang w:val="en-US" w:eastAsia="zh-CN"/>
        </w:rPr>
        <w:t>8</w:t>
      </w:r>
      <w:r>
        <w:rPr>
          <w:rFonts w:hint="eastAsia" w:ascii="华文中宋" w:hAnsi="华文中宋" w:eastAsia="华文中宋" w:cs="宋体"/>
          <w:kern w:val="0"/>
          <w:sz w:val="44"/>
          <w:szCs w:val="44"/>
        </w:rPr>
        <w:t>年《中国经济学优秀博士论文奖》</w:t>
      </w:r>
    </w:p>
    <w:p>
      <w:pPr>
        <w:ind w:left="-171" w:leftChars="-94" w:hanging="26" w:hangingChars="6"/>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推荐评审工作指南</w:t>
      </w:r>
    </w:p>
    <w:p>
      <w:pPr>
        <w:spacing w:line="360" w:lineRule="auto"/>
        <w:ind w:left="-181" w:leftChars="-94" w:hanging="16" w:hangingChars="6"/>
        <w:rPr>
          <w:rFonts w:ascii="微软雅黑" w:hAnsi="微软雅黑" w:eastAsia="微软雅黑"/>
          <w:color w:val="333333"/>
          <w:kern w:val="0"/>
          <w:sz w:val="28"/>
          <w:szCs w:val="28"/>
        </w:rPr>
      </w:pPr>
    </w:p>
    <w:p>
      <w:pPr>
        <w:spacing w:line="360" w:lineRule="auto"/>
        <w:ind w:left="-181" w:leftChars="-94" w:hanging="16" w:hangingChars="6"/>
        <w:rPr>
          <w:rFonts w:ascii="宋体" w:hAnsi="宋体" w:eastAsia="宋体" w:cs="宋体"/>
          <w:color w:val="000000"/>
          <w:sz w:val="28"/>
          <w:szCs w:val="28"/>
        </w:rPr>
      </w:pPr>
      <w:r>
        <w:rPr>
          <w:rFonts w:ascii="宋体" w:hAnsi="宋体" w:eastAsia="宋体" w:cs="宋体"/>
          <w:color w:val="000000"/>
          <w:sz w:val="28"/>
          <w:szCs w:val="28"/>
        </w:rPr>
        <w:t>根据北京</w:t>
      </w:r>
      <w:r>
        <w:rPr>
          <w:rFonts w:hint="eastAsia" w:ascii="宋体" w:hAnsi="宋体" w:eastAsia="宋体" w:cs="宋体"/>
          <w:color w:val="000000"/>
          <w:sz w:val="28"/>
          <w:szCs w:val="28"/>
        </w:rPr>
        <w:t>当代经济学基金会《中国经济学优秀博士论文奖评选暂行办法》（见附件1，以下简称《暂行办法》）</w:t>
      </w:r>
      <w:r>
        <w:rPr>
          <w:rFonts w:ascii="宋体" w:hAnsi="宋体" w:eastAsia="宋体" w:cs="宋体"/>
          <w:color w:val="000000"/>
          <w:sz w:val="28"/>
          <w:szCs w:val="28"/>
        </w:rPr>
        <w:t>，</w:t>
      </w:r>
      <w:r>
        <w:rPr>
          <w:rFonts w:hint="eastAsia" w:ascii="宋体" w:hAnsi="宋体" w:eastAsia="宋体" w:cs="宋体"/>
          <w:color w:val="000000"/>
          <w:sz w:val="28"/>
          <w:szCs w:val="28"/>
        </w:rPr>
        <w:t>现就201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年</w:t>
      </w:r>
      <w:r>
        <w:rPr>
          <w:rFonts w:ascii="宋体" w:hAnsi="宋体" w:eastAsia="宋体" w:cs="宋体"/>
          <w:color w:val="000000"/>
          <w:sz w:val="28"/>
          <w:szCs w:val="28"/>
        </w:rPr>
        <w:t>“中国经济学</w:t>
      </w:r>
      <w:r>
        <w:rPr>
          <w:rFonts w:hint="eastAsia" w:ascii="宋体" w:hAnsi="宋体" w:eastAsia="宋体" w:cs="宋体"/>
          <w:bCs/>
          <w:color w:val="000000"/>
          <w:sz w:val="28"/>
          <w:szCs w:val="28"/>
        </w:rPr>
        <w:t>优秀博士论文奖”（以下简称“优博奖”）的提名、推荐和</w:t>
      </w:r>
      <w:r>
        <w:rPr>
          <w:rFonts w:ascii="宋体" w:hAnsi="宋体" w:eastAsia="宋体" w:cs="宋体"/>
          <w:color w:val="000000"/>
          <w:sz w:val="28"/>
          <w:szCs w:val="28"/>
        </w:rPr>
        <w:t>评审的相关工作细则</w:t>
      </w:r>
      <w:r>
        <w:rPr>
          <w:rFonts w:hint="eastAsia" w:ascii="宋体" w:hAnsi="宋体" w:eastAsia="宋体" w:cs="宋体"/>
          <w:color w:val="000000"/>
          <w:sz w:val="28"/>
          <w:szCs w:val="28"/>
        </w:rPr>
        <w:t>通知</w:t>
      </w:r>
      <w:r>
        <w:rPr>
          <w:rFonts w:ascii="宋体" w:hAnsi="宋体" w:eastAsia="宋体" w:cs="宋体"/>
          <w:color w:val="000000"/>
          <w:sz w:val="28"/>
          <w:szCs w:val="28"/>
        </w:rPr>
        <w:t>如下。</w:t>
      </w:r>
    </w:p>
    <w:p>
      <w:pPr>
        <w:spacing w:line="360" w:lineRule="auto"/>
        <w:ind w:left="-181" w:leftChars="-94" w:hanging="16" w:hangingChars="6"/>
        <w:rPr>
          <w:rFonts w:ascii="宋体" w:hAnsi="宋体" w:eastAsia="宋体" w:cs="宋体"/>
          <w:b/>
          <w:color w:val="000000"/>
          <w:sz w:val="28"/>
          <w:szCs w:val="28"/>
        </w:rPr>
      </w:pPr>
      <w:r>
        <w:rPr>
          <w:rFonts w:ascii="宋体" w:hAnsi="宋体" w:eastAsia="宋体" w:cs="宋体"/>
          <w:color w:val="000000"/>
          <w:sz w:val="28"/>
          <w:szCs w:val="28"/>
        </w:rPr>
        <w:br w:type="textWrapping"/>
      </w:r>
      <w:r>
        <w:rPr>
          <w:rFonts w:hint="eastAsia" w:ascii="宋体" w:hAnsi="宋体" w:eastAsia="宋体" w:cs="宋体"/>
          <w:b/>
          <w:color w:val="000000"/>
          <w:sz w:val="28"/>
          <w:szCs w:val="28"/>
        </w:rPr>
        <w:t>一、“优博奖”提名人</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根据《暂行办法》第十二条，提名人分为两类：</w:t>
      </w:r>
    </w:p>
    <w:p>
      <w:pPr>
        <w:numPr>
          <w:ilvl w:val="0"/>
          <w:numId w:val="1"/>
        </w:numPr>
        <w:spacing w:line="360" w:lineRule="auto"/>
        <w:ind w:left="-181" w:leftChars="-94" w:hanging="16" w:hangingChars="6"/>
        <w:rPr>
          <w:rFonts w:hint="eastAsia" w:ascii="宋体" w:hAnsi="宋体" w:eastAsia="宋体" w:cs="宋体"/>
          <w:color w:val="000000"/>
          <w:sz w:val="28"/>
          <w:szCs w:val="28"/>
        </w:rPr>
      </w:pPr>
      <w:r>
        <w:rPr>
          <w:rFonts w:hint="eastAsia" w:ascii="宋体" w:hAnsi="宋体" w:eastAsia="宋体" w:cs="宋体"/>
          <w:color w:val="000000"/>
          <w:sz w:val="28"/>
          <w:szCs w:val="28"/>
        </w:rPr>
        <w:t>中国内地提名人</w:t>
      </w:r>
    </w:p>
    <w:p>
      <w:pPr>
        <w:numPr>
          <w:ilvl w:val="0"/>
          <w:numId w:val="0"/>
        </w:numPr>
        <w:spacing w:line="360" w:lineRule="auto"/>
        <w:ind w:left="-179" w:leftChars="-94" w:hanging="18" w:hangingChars="6"/>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在2017年中国经济学优秀博士论文奖提名人基础上，增加教育部2017年第四次全国高校学科评估结果中理论经济学和应用经济学学科排名榜榜上有名且具有博士点的高校。</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（二）港澳台地区</w:t>
      </w:r>
      <w:r>
        <w:rPr>
          <w:rFonts w:ascii="宋体" w:hAnsi="宋体" w:eastAsia="宋体" w:cs="宋体"/>
          <w:color w:val="000000"/>
          <w:sz w:val="28"/>
          <w:szCs w:val="28"/>
        </w:rPr>
        <w:t>提名人</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根据国际高等教育研究机构发布的亚洲地区</w:t>
      </w:r>
      <w:r>
        <w:rPr>
          <w:rFonts w:ascii="宋体" w:hAnsi="宋体" w:eastAsia="宋体" w:cs="宋体"/>
          <w:color w:val="000000"/>
          <w:sz w:val="28"/>
          <w:szCs w:val="28"/>
        </w:rPr>
        <w:t>顶尖大学(综合排名)前300排名榜</w:t>
      </w:r>
      <w:r>
        <w:rPr>
          <w:rFonts w:hint="eastAsia" w:ascii="宋体" w:hAnsi="宋体" w:eastAsia="宋体" w:cs="宋体"/>
          <w:color w:val="000000"/>
          <w:sz w:val="28"/>
          <w:szCs w:val="28"/>
        </w:rPr>
        <w:t>公开信息</w:t>
      </w:r>
      <w:r>
        <w:rPr>
          <w:rStyle w:val="10"/>
          <w:rFonts w:ascii="宋体" w:hAnsi="宋体" w:eastAsia="宋体" w:cs="宋体"/>
          <w:color w:val="000000"/>
          <w:sz w:val="28"/>
          <w:szCs w:val="28"/>
        </w:rPr>
        <w:footnoteReference w:id="0"/>
      </w:r>
      <w:r>
        <w:rPr>
          <w:rFonts w:hint="eastAsia" w:ascii="宋体" w:hAnsi="宋体" w:eastAsia="宋体" w:cs="宋体"/>
          <w:color w:val="000000"/>
          <w:sz w:val="28"/>
          <w:szCs w:val="28"/>
        </w:rPr>
        <w:t>，“优博奖”港澳台地区提名人暂限于下述条件之一者：</w:t>
      </w:r>
    </w:p>
    <w:p>
      <w:pPr>
        <w:pStyle w:val="17"/>
        <w:numPr>
          <w:ilvl w:val="0"/>
          <w:numId w:val="2"/>
        </w:numPr>
        <w:adjustRightInd/>
        <w:snapToGrid/>
        <w:spacing w:after="0"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香港地区：进入QS亚洲地区顶尖大学前300排名榜的香港7所高校；</w:t>
      </w:r>
    </w:p>
    <w:p>
      <w:pPr>
        <w:pStyle w:val="17"/>
        <w:numPr>
          <w:ilvl w:val="0"/>
          <w:numId w:val="2"/>
        </w:numPr>
        <w:adjustRightInd/>
        <w:snapToGrid/>
        <w:spacing w:after="0"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澳门地区：进入QS亚洲地区顶尖大学前300排名榜的澳门3所高校；</w:t>
      </w:r>
    </w:p>
    <w:p>
      <w:pPr>
        <w:pStyle w:val="17"/>
        <w:numPr>
          <w:ilvl w:val="0"/>
          <w:numId w:val="2"/>
        </w:numPr>
        <w:adjustRightInd/>
        <w:snapToGrid/>
        <w:spacing w:after="0"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台湾地区：进入QS亚洲地区顶尖大学前300排名榜的台湾24所高校。</w:t>
      </w:r>
    </w:p>
    <w:p>
      <w:pPr>
        <w:spacing w:line="360" w:lineRule="auto"/>
        <w:ind w:left="-181" w:leftChars="-94" w:hanging="16" w:hangingChars="6"/>
        <w:rPr>
          <w:rFonts w:ascii="宋体" w:hAnsi="宋体" w:eastAsia="宋体" w:cs="宋体"/>
          <w:b/>
          <w:color w:val="000000"/>
          <w:sz w:val="28"/>
          <w:szCs w:val="28"/>
        </w:rPr>
      </w:pPr>
      <w:r>
        <w:rPr>
          <w:rFonts w:ascii="宋体" w:hAnsi="宋体" w:eastAsia="宋体" w:cs="宋体"/>
          <w:color w:val="000000"/>
          <w:sz w:val="28"/>
          <w:szCs w:val="28"/>
        </w:rPr>
        <w:br w:type="textWrapping"/>
      </w:r>
      <w:r>
        <w:rPr>
          <w:rFonts w:hint="eastAsia" w:ascii="宋体" w:hAnsi="宋体" w:eastAsia="宋体" w:cs="宋体"/>
          <w:b/>
          <w:color w:val="000000"/>
          <w:sz w:val="28"/>
          <w:szCs w:val="28"/>
        </w:rPr>
        <w:t>二、提名人推荐事项</w:t>
      </w:r>
    </w:p>
    <w:p>
      <w:pPr>
        <w:spacing w:line="360" w:lineRule="auto"/>
        <w:ind w:left="-180" w:leftChars="-94" w:hanging="17" w:hangingChars="6"/>
        <w:rPr>
          <w:rFonts w:ascii="宋体" w:hAnsi="宋体" w:eastAsia="宋体" w:cs="宋体"/>
          <w:b/>
          <w:color w:val="000000"/>
          <w:sz w:val="28"/>
          <w:szCs w:val="28"/>
        </w:rPr>
      </w:pPr>
      <w:r>
        <w:rPr>
          <w:rFonts w:hint="eastAsia" w:ascii="宋体" w:hAnsi="宋体" w:eastAsia="宋体" w:cs="宋体"/>
          <w:b/>
          <w:color w:val="000000"/>
          <w:sz w:val="28"/>
          <w:szCs w:val="28"/>
        </w:rPr>
        <w:t>（一）提名人推荐</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“优博</w:t>
      </w:r>
      <w:r>
        <w:rPr>
          <w:rFonts w:ascii="宋体" w:hAnsi="宋体" w:eastAsia="宋体" w:cs="宋体"/>
          <w:color w:val="000000"/>
          <w:sz w:val="28"/>
          <w:szCs w:val="28"/>
        </w:rPr>
        <w:t>奖”实行提名人推荐制。由具有提名人资格的提名单位负责人或指定的学术代表人，根据《暂行办法》第九条要求</w:t>
      </w:r>
      <w:r>
        <w:rPr>
          <w:rFonts w:hint="eastAsia" w:ascii="宋体" w:hAnsi="宋体" w:eastAsia="宋体" w:cs="宋体"/>
          <w:color w:val="000000"/>
          <w:sz w:val="28"/>
          <w:szCs w:val="28"/>
        </w:rPr>
        <w:t>进行</w:t>
      </w:r>
      <w:r>
        <w:rPr>
          <w:rFonts w:ascii="宋体" w:hAnsi="宋体" w:eastAsia="宋体" w:cs="宋体"/>
          <w:color w:val="000000"/>
          <w:sz w:val="28"/>
          <w:szCs w:val="28"/>
        </w:rPr>
        <w:t>推荐。提名人需填写《中国经济学优秀博士论文推荐表》（见附件2），撰写推荐</w:t>
      </w:r>
      <w:r>
        <w:rPr>
          <w:rFonts w:hint="eastAsia" w:ascii="宋体" w:hAnsi="宋体" w:eastAsia="宋体" w:cs="宋体"/>
          <w:color w:val="000000"/>
          <w:sz w:val="28"/>
          <w:szCs w:val="28"/>
        </w:rPr>
        <w:t>理由</w:t>
      </w:r>
      <w:r>
        <w:rPr>
          <w:rFonts w:ascii="宋体" w:hAnsi="宋体" w:eastAsia="宋体" w:cs="宋体"/>
          <w:color w:val="000000"/>
          <w:sz w:val="28"/>
          <w:szCs w:val="28"/>
        </w:rPr>
        <w:t>。</w:t>
      </w:r>
    </w:p>
    <w:p>
      <w:pPr>
        <w:spacing w:line="360" w:lineRule="auto"/>
        <w:ind w:left="-181" w:leftChars="-94" w:hanging="16" w:hangingChars="6"/>
        <w:rPr>
          <w:rFonts w:ascii="宋体" w:hAnsi="宋体" w:eastAsia="宋体" w:cs="宋体"/>
          <w:color w:val="000000"/>
          <w:sz w:val="28"/>
          <w:szCs w:val="28"/>
        </w:rPr>
      </w:pPr>
      <w:r>
        <w:rPr>
          <w:rFonts w:ascii="宋体" w:hAnsi="宋体" w:eastAsia="宋体" w:cs="宋体"/>
          <w:color w:val="000000"/>
          <w:sz w:val="28"/>
          <w:szCs w:val="28"/>
        </w:rPr>
        <w:t>每位提名人可推荐1-2位本校或非本校的博士候选人参加“优博奖”的评选。</w:t>
      </w:r>
    </w:p>
    <w:p>
      <w:pPr>
        <w:spacing w:line="360" w:lineRule="auto"/>
        <w:ind w:left="-181" w:leftChars="-94" w:hanging="16" w:hangingChars="6"/>
        <w:rPr>
          <w:rFonts w:ascii="宋体" w:hAnsi="宋体" w:eastAsia="宋体" w:cs="宋体"/>
          <w:color w:val="000000"/>
          <w:sz w:val="28"/>
          <w:szCs w:val="28"/>
        </w:rPr>
      </w:pPr>
    </w:p>
    <w:p>
      <w:pPr>
        <w:spacing w:line="360" w:lineRule="auto"/>
        <w:ind w:left="-180" w:leftChars="-94" w:hanging="17" w:hangingChars="6"/>
        <w:rPr>
          <w:rFonts w:ascii="宋体" w:hAnsi="宋体" w:eastAsia="宋体" w:cs="宋体"/>
          <w:b/>
          <w:color w:val="000000"/>
          <w:sz w:val="28"/>
          <w:szCs w:val="28"/>
        </w:rPr>
      </w:pPr>
      <w:r>
        <w:rPr>
          <w:rFonts w:hint="eastAsia" w:ascii="宋体" w:hAnsi="宋体" w:eastAsia="宋体" w:cs="宋体"/>
          <w:b/>
          <w:color w:val="000000"/>
          <w:sz w:val="28"/>
          <w:szCs w:val="28"/>
        </w:rPr>
        <w:t>(二)推荐时间及推荐表寄送</w:t>
      </w:r>
    </w:p>
    <w:p>
      <w:pPr>
        <w:keepNext w:val="0"/>
        <w:keepLines w:val="0"/>
        <w:widowControl/>
        <w:suppressLineNumbers w:val="0"/>
        <w:spacing w:before="0" w:beforeAutospacing="1" w:after="0" w:afterAutospacing="1" w:line="315" w:lineRule="atLeast"/>
        <w:ind w:left="-180" w:leftChars="-94" w:right="0" w:hanging="17" w:hangingChars="6"/>
        <w:jc w:val="left"/>
      </w:pPr>
      <w:r>
        <w:rPr>
          <w:rFonts w:hint="eastAsia" w:ascii="宋体" w:hAnsi="宋体" w:eastAsia="宋体" w:cs="宋体"/>
          <w:b/>
          <w:kern w:val="0"/>
          <w:sz w:val="28"/>
          <w:szCs w:val="28"/>
          <w:lang w:val="en-US" w:eastAsia="zh-CN" w:bidi="ar"/>
        </w:rPr>
        <w:t>推荐时间及推荐表寄送</w:t>
      </w:r>
    </w:p>
    <w:p>
      <w:pPr>
        <w:keepNext w:val="0"/>
        <w:keepLines w:val="0"/>
        <w:widowControl/>
        <w:numPr>
          <w:ilvl w:val="0"/>
          <w:numId w:val="3"/>
        </w:numPr>
        <w:suppressLineNumbers w:val="0"/>
        <w:spacing w:before="0" w:beforeAutospacing="1" w:after="0" w:afterAutospacing="1"/>
        <w:ind w:left="-181" w:leftChars="-94" w:right="0" w:hanging="16" w:hangingChars="6"/>
        <w:jc w:val="left"/>
        <w:rPr>
          <w:rFonts w:hint="eastAsia" w:ascii="宋体" w:hAnsi="宋体" w:eastAsia="宋体" w:cs="Arial"/>
          <w:b w:val="0"/>
          <w:bCs/>
          <w:kern w:val="0"/>
          <w:sz w:val="28"/>
          <w:szCs w:val="28"/>
          <w:u w:val="none"/>
          <w:lang w:val="en-US" w:eastAsia="zh-CN" w:bidi="ar"/>
        </w:rPr>
      </w:pPr>
      <w:r>
        <w:rPr>
          <w:rFonts w:hint="eastAsia" w:ascii="宋体" w:hAnsi="宋体" w:eastAsia="宋体" w:cs="Arial"/>
          <w:b w:val="0"/>
          <w:bCs/>
          <w:kern w:val="0"/>
          <w:sz w:val="28"/>
          <w:szCs w:val="28"/>
          <w:u w:val="none"/>
          <w:lang w:val="en-US" w:eastAsia="zh-CN" w:bidi="ar"/>
        </w:rPr>
        <w:t>推荐起止时间：2018年2月5日至5月4日。</w:t>
      </w:r>
    </w:p>
    <w:p>
      <w:pPr>
        <w:keepNext w:val="0"/>
        <w:keepLines w:val="0"/>
        <w:widowControl/>
        <w:numPr>
          <w:ilvl w:val="0"/>
          <w:numId w:val="3"/>
        </w:numPr>
        <w:suppressLineNumbers w:val="0"/>
        <w:spacing w:before="0" w:beforeAutospacing="1" w:after="0" w:afterAutospacing="1"/>
        <w:ind w:left="-181" w:leftChars="-94" w:right="0" w:hanging="16" w:hangingChars="6"/>
        <w:jc w:val="left"/>
        <w:rPr>
          <w:rFonts w:hint="eastAsia" w:ascii="宋体" w:hAnsi="宋体" w:eastAsia="宋体" w:cs="Arial"/>
          <w:b w:val="0"/>
          <w:bCs/>
          <w:kern w:val="0"/>
          <w:sz w:val="28"/>
          <w:szCs w:val="28"/>
          <w:u w:val="none"/>
          <w:lang w:val="en-US" w:eastAsia="zh-CN" w:bidi="ar"/>
        </w:rPr>
      </w:pPr>
      <w:r>
        <w:rPr>
          <w:rFonts w:hint="eastAsia" w:ascii="宋体" w:hAnsi="宋体" w:eastAsia="宋体" w:cs="Arial"/>
          <w:b w:val="0"/>
          <w:bCs/>
          <w:kern w:val="0"/>
          <w:sz w:val="28"/>
          <w:szCs w:val="28"/>
          <w:u w:val="none"/>
          <w:lang w:val="en-US" w:eastAsia="zh-CN" w:bidi="ar"/>
        </w:rPr>
        <w:t>提名人请点击下方2018年中国经济学优秀博士论文奖网上申请链接填写相关提名推荐信息。</w:t>
      </w:r>
    </w:p>
    <w:p>
      <w:pPr>
        <w:keepNext w:val="0"/>
        <w:keepLines w:val="0"/>
        <w:widowControl/>
        <w:numPr>
          <w:ilvl w:val="0"/>
          <w:numId w:val="0"/>
        </w:numPr>
        <w:suppressLineNumbers w:val="0"/>
        <w:spacing w:before="0" w:beforeAutospacing="1" w:after="0" w:afterAutospacing="1"/>
        <w:ind w:left="-181" w:leftChars="-94" w:right="0" w:rightChars="0" w:hanging="16" w:hangingChars="6"/>
        <w:jc w:val="left"/>
        <w:rPr>
          <w:rFonts w:hint="eastAsia" w:ascii="宋体" w:hAnsi="宋体" w:eastAsia="宋体" w:cs="Arial"/>
          <w:b w:val="0"/>
          <w:bCs/>
          <w:kern w:val="0"/>
          <w:sz w:val="28"/>
          <w:szCs w:val="28"/>
          <w:u w:val="none"/>
          <w:lang w:val="en-US" w:eastAsia="zh-CN" w:bidi="ar"/>
        </w:rPr>
      </w:pPr>
      <w:r>
        <w:rPr>
          <w:rFonts w:hint="eastAsia" w:ascii="宋体" w:hAnsi="宋体" w:eastAsia="宋体" w:cs="Arial"/>
          <w:b w:val="0"/>
          <w:bCs/>
          <w:kern w:val="0"/>
          <w:sz w:val="28"/>
          <w:szCs w:val="28"/>
          <w:u w:val="none"/>
          <w:lang w:val="en-US" w:eastAsia="zh-CN" w:bidi="ar"/>
        </w:rPr>
        <w:fldChar w:fldCharType="begin"/>
      </w:r>
      <w:r>
        <w:rPr>
          <w:rFonts w:hint="eastAsia" w:ascii="宋体" w:hAnsi="宋体" w:eastAsia="宋体" w:cs="Arial"/>
          <w:b w:val="0"/>
          <w:bCs/>
          <w:kern w:val="0"/>
          <w:sz w:val="28"/>
          <w:szCs w:val="28"/>
          <w:u w:val="none"/>
          <w:lang w:val="en-US" w:eastAsia="zh-CN" w:bidi="ar"/>
        </w:rPr>
        <w:instrText xml:space="preserve"> HYPERLINK "http://prize.nefchina.org/action/doc/ybjsy.jsp" </w:instrText>
      </w:r>
      <w:r>
        <w:rPr>
          <w:rFonts w:hint="eastAsia" w:ascii="宋体" w:hAnsi="宋体" w:eastAsia="宋体" w:cs="Arial"/>
          <w:b w:val="0"/>
          <w:bCs/>
          <w:kern w:val="0"/>
          <w:sz w:val="28"/>
          <w:szCs w:val="28"/>
          <w:u w:val="none"/>
          <w:lang w:val="en-US" w:eastAsia="zh-CN" w:bidi="ar"/>
        </w:rPr>
        <w:fldChar w:fldCharType="separate"/>
      </w:r>
      <w:r>
        <w:rPr>
          <w:rStyle w:val="9"/>
          <w:rFonts w:hint="eastAsia" w:ascii="宋体" w:hAnsi="宋体" w:eastAsia="宋体" w:cs="Arial"/>
          <w:b w:val="0"/>
          <w:bCs/>
          <w:kern w:val="0"/>
          <w:sz w:val="28"/>
          <w:szCs w:val="28"/>
          <w:lang w:val="en-US" w:eastAsia="zh-CN" w:bidi="ar"/>
        </w:rPr>
        <w:t>http://prize.nefchina.org/action/doc/ybjsy.jsp</w:t>
      </w:r>
      <w:r>
        <w:rPr>
          <w:rFonts w:hint="eastAsia" w:ascii="宋体" w:hAnsi="宋体" w:eastAsia="宋体" w:cs="Arial"/>
          <w:b w:val="0"/>
          <w:bCs/>
          <w:kern w:val="0"/>
          <w:sz w:val="28"/>
          <w:szCs w:val="28"/>
          <w:u w:val="none"/>
          <w:lang w:val="en-US" w:eastAsia="zh-CN" w:bidi="ar"/>
        </w:rPr>
        <w:fldChar w:fldCharType="end"/>
      </w:r>
    </w:p>
    <w:p>
      <w:pPr>
        <w:keepNext w:val="0"/>
        <w:keepLines w:val="0"/>
        <w:widowControl/>
        <w:numPr>
          <w:ilvl w:val="0"/>
          <w:numId w:val="3"/>
        </w:numPr>
        <w:suppressLineNumbers w:val="0"/>
        <w:spacing w:before="0" w:beforeAutospacing="1" w:after="0" w:afterAutospacing="1" w:line="315" w:lineRule="atLeast"/>
        <w:ind w:left="-181" w:leftChars="-94" w:right="0" w:hanging="16" w:hangingChars="6"/>
        <w:jc w:val="left"/>
        <w:rPr>
          <w:rFonts w:hint="eastAsia" w:ascii="宋体" w:hAnsi="宋体" w:eastAsia="宋体" w:cs="宋体"/>
          <w:kern w:val="0"/>
          <w:sz w:val="28"/>
          <w:szCs w:val="28"/>
          <w:lang w:val="en-US" w:eastAsia="zh-CN" w:bidi="ar"/>
        </w:rPr>
      </w:pPr>
      <w:r>
        <w:rPr>
          <w:rFonts w:hint="eastAsia" w:ascii="宋体" w:hAnsi="宋体" w:eastAsia="宋体" w:cs="Arial"/>
          <w:b w:val="0"/>
          <w:bCs/>
          <w:kern w:val="0"/>
          <w:sz w:val="28"/>
          <w:szCs w:val="28"/>
          <w:u w:val="none"/>
          <w:lang w:val="en-US" w:eastAsia="zh-CN" w:bidi="ar"/>
        </w:rPr>
        <w:t>申请人请登陆上述链接填写相关申请信息，并上传博士论文。</w:t>
      </w:r>
    </w:p>
    <w:p>
      <w:pPr>
        <w:keepNext w:val="0"/>
        <w:keepLines w:val="0"/>
        <w:widowControl/>
        <w:numPr>
          <w:ilvl w:val="0"/>
          <w:numId w:val="0"/>
        </w:numPr>
        <w:suppressLineNumbers w:val="0"/>
        <w:spacing w:before="0" w:beforeAutospacing="1" w:after="0" w:afterAutospacing="1" w:line="315" w:lineRule="atLeast"/>
        <w:ind w:left="-181" w:leftChars="-94" w:right="0" w:rightChars="0" w:hanging="16" w:hangingChars="6"/>
        <w:jc w:val="left"/>
      </w:pPr>
      <w:r>
        <w:rPr>
          <w:rFonts w:hint="eastAsia" w:ascii="宋体" w:hAnsi="宋体" w:eastAsia="宋体" w:cs="宋体"/>
          <w:kern w:val="0"/>
          <w:sz w:val="28"/>
          <w:szCs w:val="28"/>
          <w:lang w:val="en-US" w:eastAsia="zh-CN" w:bidi="ar"/>
        </w:rPr>
        <w:t>4.</w:t>
      </w:r>
      <w:r>
        <w:rPr>
          <w:rFonts w:hint="eastAsia" w:ascii="宋体" w:hAnsi="宋体" w:eastAsia="宋体" w:cs="宋体"/>
          <w:kern w:val="0"/>
          <w:sz w:val="24"/>
          <w:szCs w:val="24"/>
          <w:lang w:val="en-US" w:eastAsia="zh-CN" w:bidi="ar"/>
        </w:rPr>
        <w:t xml:space="preserve"> </w:t>
      </w:r>
      <w:r>
        <w:rPr>
          <w:rFonts w:hint="eastAsia" w:ascii="宋体" w:hAnsi="宋体" w:eastAsia="宋体" w:cs="宋体"/>
          <w:color w:val="000000"/>
          <w:sz w:val="28"/>
          <w:szCs w:val="28"/>
        </w:rPr>
        <w:t>提名人将填写完的《中国经济学优秀博士论文推荐表》以及由被推荐的论文作者填写的《中国经济学优秀博士论文申报表》、博士论文等三份材料，以电子版形式一并发送至北京当代经济学基金会邮箱：</w:t>
      </w:r>
      <w:r>
        <w:fldChar w:fldCharType="begin"/>
      </w:r>
      <w:r>
        <w:instrText xml:space="preserve"> HYPERLINK "mailto:nefchina@163.com" </w:instrText>
      </w:r>
      <w:r>
        <w:fldChar w:fldCharType="separate"/>
      </w:r>
      <w:r>
        <w:rPr>
          <w:rFonts w:ascii="Times New Roman" w:hAnsi="Times New Roman" w:cs="Times New Roman"/>
          <w:color w:val="000000"/>
          <w:sz w:val="28"/>
          <w:szCs w:val="28"/>
        </w:rPr>
        <w:t>nefchina@163.com</w:t>
      </w:r>
      <w:r>
        <w:rPr>
          <w:rFonts w:ascii="Times New Roman" w:hAnsi="Times New Roman" w:cs="Times New Roman"/>
          <w:color w:val="000000"/>
          <w:sz w:val="28"/>
          <w:szCs w:val="28"/>
        </w:rPr>
        <w:fldChar w:fldCharType="end"/>
      </w:r>
    </w:p>
    <w:p>
      <w:pPr>
        <w:keepNext w:val="0"/>
        <w:keepLines w:val="0"/>
        <w:widowControl/>
        <w:suppressLineNumbers w:val="0"/>
        <w:spacing w:before="0" w:beforeAutospacing="1" w:after="0" w:afterAutospacing="1"/>
        <w:ind w:left="-181" w:leftChars="-94" w:right="0" w:hanging="16" w:hangingChars="6"/>
        <w:jc w:val="left"/>
        <w:rPr>
          <w:rFonts w:ascii="宋体" w:hAnsi="宋体" w:eastAsia="宋体" w:cs="宋体"/>
          <w:color w:val="000000"/>
          <w:sz w:val="28"/>
          <w:szCs w:val="28"/>
        </w:rPr>
      </w:pPr>
      <w:r>
        <w:rPr>
          <w:rFonts w:hint="eastAsia" w:ascii="宋体" w:hAnsi="宋体" w:eastAsia="宋体" w:cs="宋体"/>
          <w:kern w:val="0"/>
          <w:sz w:val="28"/>
          <w:szCs w:val="28"/>
          <w:lang w:val="en-US" w:eastAsia="zh-CN" w:bidi="ar"/>
        </w:rPr>
        <w:t xml:space="preserve">   特别提醒：</w:t>
      </w:r>
      <w:r>
        <w:rPr>
          <w:rFonts w:hint="eastAsia" w:ascii="宋体" w:hAnsi="宋体" w:cs="宋体"/>
          <w:b/>
          <w:bCs/>
          <w:color w:val="1F497D" w:themeColor="text2"/>
          <w:kern w:val="0"/>
          <w:sz w:val="28"/>
          <w:szCs w:val="28"/>
          <w:highlight w:val="none"/>
          <w:u w:val="none"/>
          <w14:textFill>
            <w14:solidFill>
              <w14:schemeClr w14:val="tx2"/>
            </w14:solidFill>
          </w14:textFill>
        </w:rPr>
        <w:t>从2018年第3届评选开始，论文截止期限为评选年度之前一年</w:t>
      </w:r>
      <w:r>
        <w:rPr>
          <w:rFonts w:hint="eastAsia" w:ascii="宋体" w:hAnsi="宋体" w:cs="宋体"/>
          <w:b/>
          <w:bCs/>
          <w:color w:val="1F497D" w:themeColor="text2"/>
          <w:kern w:val="0"/>
          <w:sz w:val="28"/>
          <w:szCs w:val="28"/>
          <w:highlight w:val="none"/>
          <w:u w:val="none"/>
          <w:lang w:val="en-US" w:eastAsia="zh-CN"/>
          <w14:textFill>
            <w14:solidFill>
              <w14:schemeClr w14:val="tx2"/>
            </w14:solidFill>
          </w14:textFill>
        </w:rPr>
        <w:t>即2017年毕业</w:t>
      </w:r>
      <w:bookmarkStart w:id="0" w:name="_GoBack"/>
      <w:bookmarkEnd w:id="0"/>
      <w:r>
        <w:rPr>
          <w:rFonts w:hint="eastAsia" w:ascii="宋体" w:hAnsi="宋体" w:cs="宋体"/>
          <w:b/>
          <w:bCs/>
          <w:color w:val="1F497D" w:themeColor="text2"/>
          <w:kern w:val="0"/>
          <w:sz w:val="28"/>
          <w:szCs w:val="28"/>
          <w:highlight w:val="none"/>
          <w:u w:val="none"/>
          <w14:textFill>
            <w14:solidFill>
              <w14:schemeClr w14:val="tx2"/>
            </w14:solidFill>
          </w14:textFill>
        </w:rPr>
        <w:t>的经济学博士论文。</w:t>
      </w:r>
    </w:p>
    <w:p>
      <w:pPr>
        <w:spacing w:line="360" w:lineRule="auto"/>
        <w:ind w:left="-180" w:leftChars="-94" w:hanging="17" w:hangingChars="6"/>
        <w:rPr>
          <w:rFonts w:ascii="宋体" w:hAnsi="宋体" w:eastAsia="宋体" w:cs="宋体"/>
          <w:color w:val="000000"/>
          <w:sz w:val="28"/>
          <w:szCs w:val="28"/>
        </w:rPr>
      </w:pPr>
      <w:r>
        <w:rPr>
          <w:rFonts w:hint="eastAsia" w:ascii="宋体" w:hAnsi="宋体" w:eastAsia="宋体" w:cs="宋体"/>
          <w:b/>
          <w:color w:val="000000"/>
          <w:sz w:val="28"/>
          <w:szCs w:val="28"/>
        </w:rPr>
        <w:t>三、评审事项</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（一）全部被推荐的论文经资格审查、论文公示阶段后，于201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日至7月</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日，以网站投票方式进行第一轮投票表决。</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北京当代经济学基金会秘书处将在201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日前，以电子邮件方式通知各提名人进行第一轮投票的登陆网址、用户名和密码，请提名人及时查收邮件。</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(二)每位提名人有初始投票权10票。10票可以分别投给一篇或多篇论文（如1篇论文投1票，最多可投10篇论文）。但是，提名人投票给自己提名的博士论文最多投5票。</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（三）初评按得票数高低，选出前20篇博士论文进入复审。复审由基金会秘书处对</w:t>
      </w:r>
      <w:r>
        <w:rPr>
          <w:rFonts w:ascii="宋体" w:hAnsi="宋体" w:eastAsia="宋体" w:cs="宋体"/>
          <w:color w:val="000000"/>
          <w:sz w:val="28"/>
          <w:szCs w:val="28"/>
        </w:rPr>
        <w:t>20</w:t>
      </w:r>
      <w:r>
        <w:rPr>
          <w:rFonts w:hint="eastAsia" w:ascii="宋体" w:hAnsi="宋体" w:eastAsia="宋体" w:cs="宋体"/>
          <w:color w:val="000000"/>
          <w:sz w:val="28"/>
          <w:szCs w:val="28"/>
        </w:rPr>
        <w:t>篇论文内容根据不同的经济学研究领域，组织相关领域的海内外学术权威进行现场讨论投票，按得票数高低，选出前</w:t>
      </w:r>
      <w:r>
        <w:rPr>
          <w:rFonts w:ascii="宋体" w:hAnsi="宋体" w:eastAsia="宋体" w:cs="宋体"/>
          <w:color w:val="000000"/>
          <w:sz w:val="28"/>
          <w:szCs w:val="28"/>
        </w:rPr>
        <w:t>10</w:t>
      </w:r>
      <w:r>
        <w:rPr>
          <w:rFonts w:hint="eastAsia" w:ascii="宋体" w:hAnsi="宋体" w:eastAsia="宋体" w:cs="宋体"/>
          <w:color w:val="000000"/>
          <w:sz w:val="28"/>
          <w:szCs w:val="28"/>
        </w:rPr>
        <w:t>篇论文为获奖论文。</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基金会将在201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16</w:t>
      </w:r>
      <w:r>
        <w:rPr>
          <w:rFonts w:hint="eastAsia" w:ascii="宋体" w:hAnsi="宋体" w:eastAsia="宋体" w:cs="宋体"/>
          <w:color w:val="000000"/>
          <w:sz w:val="28"/>
          <w:szCs w:val="28"/>
        </w:rPr>
        <w:t>前以电话、邮件等方式通知境内外高校教授及相关专家教授，组成复评专家组。由于复评专家成员将根据候选博士论文研究领域临时组成，相关提名人将参加第二轮复审投票，故请提名人留意查收邮件。</w:t>
      </w:r>
    </w:p>
    <w:p>
      <w:pPr>
        <w:spacing w:line="360" w:lineRule="auto"/>
        <w:ind w:left="-181" w:leftChars="-94" w:hanging="16" w:hangingChars="6"/>
        <w:rPr>
          <w:rFonts w:ascii="宋体" w:hAnsi="宋体" w:eastAsia="宋体" w:cs="宋体"/>
          <w:color w:val="000000"/>
          <w:sz w:val="28"/>
          <w:szCs w:val="28"/>
        </w:rPr>
      </w:pPr>
    </w:p>
    <w:p>
      <w:pPr>
        <w:spacing w:line="360" w:lineRule="auto"/>
        <w:ind w:left="-180" w:leftChars="-94" w:hanging="17" w:hangingChars="6"/>
        <w:rPr>
          <w:rFonts w:ascii="宋体" w:hAnsi="宋体" w:eastAsia="宋体" w:cs="宋体"/>
          <w:b/>
          <w:color w:val="000000"/>
          <w:sz w:val="28"/>
          <w:szCs w:val="28"/>
        </w:rPr>
      </w:pPr>
      <w:r>
        <w:rPr>
          <w:rFonts w:hint="eastAsia" w:ascii="宋体" w:hAnsi="宋体" w:eastAsia="宋体" w:cs="宋体"/>
          <w:b/>
          <w:color w:val="000000"/>
          <w:sz w:val="28"/>
          <w:szCs w:val="28"/>
        </w:rPr>
        <w:t>四、评审专家的奖励与酬金</w:t>
      </w:r>
    </w:p>
    <w:p>
      <w:pPr>
        <w:spacing w:line="360" w:lineRule="auto"/>
        <w:ind w:left="-181" w:leftChars="-94" w:hanging="16" w:hangingChars="6"/>
        <w:rPr>
          <w:rFonts w:ascii="宋体" w:hAnsi="宋体" w:eastAsia="宋体" w:cs="宋体"/>
          <w:bCs/>
          <w:color w:val="000000"/>
          <w:sz w:val="28"/>
          <w:szCs w:val="28"/>
        </w:rPr>
      </w:pPr>
      <w:r>
        <w:rPr>
          <w:rFonts w:hint="eastAsia" w:ascii="宋体" w:hAnsi="宋体" w:eastAsia="宋体" w:cs="宋体"/>
          <w:bCs/>
          <w:color w:val="000000"/>
          <w:sz w:val="28"/>
          <w:szCs w:val="28"/>
        </w:rPr>
        <w:t>（一）参评博士论文获得当年“优博奖”的，该提名人下一年度投票权将增加5票，下一年度初始投票权共15票。逐年增加的投票权可累计并持续拥有，但投票权增加最高上限为30票。</w:t>
      </w:r>
    </w:p>
    <w:p>
      <w:pPr>
        <w:spacing w:line="360" w:lineRule="auto"/>
        <w:ind w:left="-181" w:leftChars="-94" w:hanging="16" w:hangingChars="6"/>
        <w:rPr>
          <w:rFonts w:ascii="宋体" w:hAnsi="宋体" w:eastAsia="宋体" w:cs="宋体"/>
          <w:bCs/>
          <w:color w:val="000000"/>
          <w:sz w:val="28"/>
          <w:szCs w:val="28"/>
        </w:rPr>
      </w:pPr>
      <w:r>
        <w:rPr>
          <w:rFonts w:hint="eastAsia" w:ascii="宋体" w:hAnsi="宋体" w:eastAsia="宋体" w:cs="宋体"/>
          <w:bCs/>
          <w:color w:val="000000"/>
          <w:sz w:val="28"/>
          <w:szCs w:val="28"/>
        </w:rPr>
        <w:t>（二）北京当代经济学基金会将对评审专家提供的辛勤工作给予一定的酬金示谢。</w:t>
      </w:r>
    </w:p>
    <w:p>
      <w:pPr>
        <w:spacing w:line="360" w:lineRule="auto"/>
        <w:ind w:left="-181" w:leftChars="-94" w:hanging="16" w:hangingChars="6"/>
        <w:rPr>
          <w:rFonts w:ascii="宋体" w:hAnsi="宋体" w:eastAsia="宋体" w:cs="宋体"/>
          <w:bCs/>
          <w:color w:val="000000"/>
          <w:sz w:val="28"/>
          <w:szCs w:val="28"/>
        </w:rPr>
      </w:pPr>
    </w:p>
    <w:p>
      <w:pPr>
        <w:spacing w:line="360" w:lineRule="auto"/>
        <w:ind w:left="-180" w:leftChars="-94" w:hanging="17" w:hangingChars="6"/>
        <w:rPr>
          <w:rFonts w:ascii="宋体" w:hAnsi="宋体" w:eastAsia="宋体" w:cs="宋体"/>
          <w:b/>
          <w:color w:val="000000"/>
          <w:sz w:val="28"/>
          <w:szCs w:val="28"/>
        </w:rPr>
      </w:pPr>
      <w:r>
        <w:rPr>
          <w:rFonts w:hint="eastAsia" w:ascii="宋体" w:hAnsi="宋体" w:eastAsia="宋体" w:cs="宋体"/>
          <w:b/>
          <w:color w:val="000000"/>
          <w:sz w:val="28"/>
          <w:szCs w:val="28"/>
        </w:rPr>
        <w:t>五、专家自律守则</w:t>
      </w:r>
    </w:p>
    <w:p>
      <w:pPr>
        <w:spacing w:line="360" w:lineRule="auto"/>
        <w:ind w:left="-181" w:leftChars="-94" w:hanging="16" w:hangingChars="6"/>
        <w:rPr>
          <w:rFonts w:ascii="宋体" w:hAnsi="宋体" w:eastAsia="宋体" w:cs="宋体"/>
          <w:bCs/>
          <w:color w:val="000000"/>
          <w:sz w:val="28"/>
          <w:szCs w:val="28"/>
        </w:rPr>
      </w:pPr>
      <w:r>
        <w:rPr>
          <w:rFonts w:hint="eastAsia" w:ascii="宋体" w:hAnsi="宋体" w:eastAsia="宋体" w:cs="宋体"/>
          <w:bCs/>
          <w:color w:val="000000"/>
          <w:sz w:val="28"/>
          <w:szCs w:val="28"/>
        </w:rPr>
        <w:t>遵循规则，公正公平，学术为上，独立投票，尊重成果。</w:t>
      </w:r>
    </w:p>
    <w:p>
      <w:pPr>
        <w:spacing w:line="360" w:lineRule="auto"/>
        <w:ind w:left="-181" w:leftChars="-94" w:hanging="16" w:hangingChars="6"/>
        <w:rPr>
          <w:rFonts w:ascii="宋体" w:hAnsi="宋体" w:eastAsia="宋体" w:cs="宋体"/>
          <w:bCs/>
          <w:color w:val="000000"/>
          <w:sz w:val="28"/>
          <w:szCs w:val="28"/>
        </w:rPr>
      </w:pPr>
    </w:p>
    <w:p>
      <w:pPr>
        <w:spacing w:line="360" w:lineRule="auto"/>
        <w:ind w:left="-180" w:leftChars="-94" w:hanging="17" w:hangingChars="6"/>
        <w:rPr>
          <w:rFonts w:ascii="宋体" w:hAnsi="宋体" w:eastAsia="宋体" w:cs="宋体"/>
          <w:b/>
          <w:color w:val="000000"/>
          <w:sz w:val="28"/>
          <w:szCs w:val="28"/>
        </w:rPr>
      </w:pPr>
      <w:r>
        <w:rPr>
          <w:rFonts w:hint="eastAsia" w:ascii="宋体" w:hAnsi="宋体" w:eastAsia="宋体" w:cs="宋体"/>
          <w:b/>
          <w:color w:val="000000"/>
          <w:sz w:val="28"/>
          <w:szCs w:val="28"/>
        </w:rPr>
        <w:t>六、联系方式</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北京当代经济学基金会秘书处</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rPr>
        <w:t>地址：北京市西城区西绒线胡同28号天安国汇大厦912室（邮编：100025）</w:t>
      </w:r>
    </w:p>
    <w:p>
      <w:pPr>
        <w:spacing w:line="360" w:lineRule="auto"/>
        <w:ind w:left="-181" w:leftChars="-94" w:hanging="16" w:hangingChars="6"/>
        <w:rPr>
          <w:rFonts w:ascii="Times New Roman" w:hAnsi="Times New Roman" w:eastAsia="宋体" w:cs="Times New Roman"/>
          <w:color w:val="000000"/>
          <w:sz w:val="28"/>
          <w:szCs w:val="28"/>
        </w:rPr>
      </w:pPr>
      <w:r>
        <w:rPr>
          <w:rFonts w:hint="eastAsia" w:ascii="宋体" w:hAnsi="宋体" w:eastAsia="宋体" w:cs="宋体"/>
          <w:color w:val="000000"/>
          <w:sz w:val="28"/>
          <w:szCs w:val="28"/>
        </w:rPr>
        <w:t>办公电话：</w:t>
      </w:r>
      <w:r>
        <w:rPr>
          <w:rFonts w:ascii="Times New Roman" w:hAnsi="Times New Roman" w:eastAsia="宋体" w:cs="Times New Roman"/>
          <w:color w:val="000000"/>
          <w:sz w:val="28"/>
          <w:szCs w:val="28"/>
        </w:rPr>
        <w:t>010-5</w:t>
      </w:r>
      <w:r>
        <w:rPr>
          <w:rFonts w:hint="eastAsia" w:ascii="Times New Roman" w:hAnsi="Times New Roman" w:eastAsia="宋体" w:cs="Times New Roman"/>
          <w:color w:val="000000"/>
          <w:sz w:val="28"/>
          <w:szCs w:val="28"/>
        </w:rPr>
        <w:t>9739279</w:t>
      </w:r>
    </w:p>
    <w:p>
      <w:pPr>
        <w:spacing w:line="360" w:lineRule="auto"/>
        <w:ind w:left="-181" w:leftChars="-94" w:hanging="16" w:hangingChars="6"/>
        <w:rPr>
          <w:rFonts w:ascii="Times New Roman" w:hAnsi="Times New Roman" w:eastAsia="宋体" w:cs="Times New Roman"/>
          <w:sz w:val="28"/>
          <w:szCs w:val="28"/>
        </w:rPr>
      </w:pPr>
      <w:r>
        <w:rPr>
          <w:rFonts w:hint="eastAsia" w:ascii="宋体" w:hAnsi="宋体" w:eastAsia="宋体" w:cs="宋体"/>
          <w:color w:val="000000"/>
          <w:sz w:val="28"/>
          <w:szCs w:val="28"/>
        </w:rPr>
        <w:t>邮箱</w:t>
      </w:r>
      <w:r>
        <w:rPr>
          <w:rFonts w:ascii="宋体" w:hAnsi="宋体" w:eastAsia="宋体" w:cs="宋体"/>
          <w:color w:val="000000"/>
          <w:sz w:val="28"/>
          <w:szCs w:val="28"/>
        </w:rPr>
        <w:t>:</w:t>
      </w:r>
      <w:r>
        <w:fldChar w:fldCharType="begin"/>
      </w:r>
      <w:r>
        <w:instrText xml:space="preserve"> HYPERLINK "mailto:nefchina@163.com" </w:instrText>
      </w:r>
      <w:r>
        <w:fldChar w:fldCharType="separate"/>
      </w:r>
      <w:r>
        <w:rPr>
          <w:rStyle w:val="9"/>
          <w:rFonts w:ascii="Times New Roman" w:hAnsi="Times New Roman" w:cs="Times New Roman"/>
          <w:color w:val="auto"/>
          <w:sz w:val="28"/>
          <w:szCs w:val="28"/>
          <w:u w:val="none"/>
        </w:rPr>
        <w:t>nefchina@163.com</w:t>
      </w:r>
      <w:r>
        <w:rPr>
          <w:rStyle w:val="9"/>
          <w:rFonts w:ascii="Times New Roman" w:hAnsi="Times New Roman" w:cs="Times New Roman"/>
          <w:color w:val="auto"/>
          <w:sz w:val="28"/>
          <w:szCs w:val="28"/>
          <w:u w:val="none"/>
        </w:rPr>
        <w:fldChar w:fldCharType="end"/>
      </w:r>
    </w:p>
    <w:p>
      <w:pPr>
        <w:spacing w:line="360" w:lineRule="auto"/>
        <w:ind w:left="-181" w:leftChars="-94" w:hanging="16" w:hangingChars="6"/>
        <w:rPr>
          <w:rFonts w:hint="eastAsia" w:ascii="宋体" w:hAnsi="宋体" w:eastAsia="宋体" w:cs="宋体"/>
          <w:color w:val="000000"/>
          <w:sz w:val="28"/>
          <w:szCs w:val="28"/>
        </w:rPr>
      </w:pPr>
      <w:r>
        <w:rPr>
          <w:rFonts w:hint="eastAsia" w:ascii="宋体" w:hAnsi="宋体" w:eastAsia="宋体" w:cs="宋体"/>
          <w:color w:val="000000"/>
          <w:sz w:val="28"/>
          <w:szCs w:val="28"/>
        </w:rPr>
        <w:t>联系人： 郝女士    手机：(+86)18519167566</w:t>
      </w:r>
    </w:p>
    <w:p>
      <w:pPr>
        <w:spacing w:line="360" w:lineRule="auto"/>
        <w:ind w:left="-181" w:leftChars="-94" w:hanging="16" w:hangingChars="6"/>
        <w:rPr>
          <w:rFonts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                        （+86）13321181536</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98673"/>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0"/>
        </w:rPr>
        <w:footnoteRef/>
      </w:r>
      <w:r>
        <w:rPr>
          <w:rFonts w:hint="eastAsia" w:ascii="宋体" w:hAnsi="宋体" w:eastAsia="宋体" w:cs="宋体"/>
          <w:color w:val="000000"/>
        </w:rPr>
        <w:t>由教育组</w:t>
      </w:r>
      <w:r>
        <w:rPr>
          <w:rFonts w:ascii="Times New Roman" w:hAnsi="宋体" w:eastAsia="宋体" w:cs="Times New Roman"/>
          <w:color w:val="000000"/>
        </w:rPr>
        <w:t>织</w:t>
      </w:r>
      <w:r>
        <w:rPr>
          <w:rFonts w:ascii="Times New Roman" w:hAnsi="Times New Roman" w:cs="Times New Roman"/>
          <w:color w:val="333333"/>
          <w:sz w:val="21"/>
          <w:szCs w:val="21"/>
        </w:rPr>
        <w:t>Quacquarelli Symonds</w:t>
      </w:r>
      <w:r>
        <w:rPr>
          <w:rFonts w:ascii="Times New Roman" w:hAnsi="Arial" w:cs="Times New Roman"/>
          <w:color w:val="333333"/>
          <w:sz w:val="21"/>
          <w:szCs w:val="21"/>
        </w:rPr>
        <w:t>（</w:t>
      </w:r>
      <w:r>
        <w:rPr>
          <w:rFonts w:ascii="Times New Roman" w:hAnsi="Times New Roman" w:cs="Times New Roman"/>
          <w:color w:val="333333"/>
          <w:sz w:val="21"/>
          <w:szCs w:val="21"/>
        </w:rPr>
        <w:t>QS</w:t>
      </w:r>
      <w:r>
        <w:rPr>
          <w:rFonts w:ascii="Times New Roman" w:hAnsi="Arial" w:cs="Times New Roman"/>
          <w:color w:val="333333"/>
          <w:sz w:val="21"/>
          <w:szCs w:val="21"/>
        </w:rPr>
        <w:t>）</w:t>
      </w:r>
      <w:r>
        <w:rPr>
          <w:rFonts w:hint="eastAsia" w:ascii="宋体" w:hAnsi="宋体" w:eastAsia="宋体" w:cs="宋体"/>
          <w:color w:val="000000"/>
        </w:rPr>
        <w:t>组织开展并发布的最新评估结果（2015年）。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F35CF"/>
    <w:multiLevelType w:val="multilevel"/>
    <w:tmpl w:val="508F35CF"/>
    <w:lvl w:ilvl="0" w:tentative="0">
      <w:start w:val="1"/>
      <w:numFmt w:val="decimal"/>
      <w:lvlText w:val="(%1)"/>
      <w:lvlJc w:val="left"/>
      <w:pPr>
        <w:ind w:left="945" w:hanging="4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8A6A6E8"/>
    <w:multiLevelType w:val="singleLevel"/>
    <w:tmpl w:val="58A6A6E8"/>
    <w:lvl w:ilvl="0" w:tentative="0">
      <w:start w:val="1"/>
      <w:numFmt w:val="decimal"/>
      <w:suff w:val="nothing"/>
      <w:lvlText w:val="%1、"/>
      <w:lvlJc w:val="left"/>
    </w:lvl>
  </w:abstractNum>
  <w:abstractNum w:abstractNumId="2">
    <w:nsid w:val="58A6E6EC"/>
    <w:multiLevelType w:val="singleLevel"/>
    <w:tmpl w:val="58A6E6EC"/>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DC"/>
    <w:rsid w:val="00004E91"/>
    <w:rsid w:val="00073A47"/>
    <w:rsid w:val="00075F3D"/>
    <w:rsid w:val="000A0D21"/>
    <w:rsid w:val="000A5210"/>
    <w:rsid w:val="000D207D"/>
    <w:rsid w:val="0011239A"/>
    <w:rsid w:val="001407F6"/>
    <w:rsid w:val="0016736B"/>
    <w:rsid w:val="00170ACE"/>
    <w:rsid w:val="00177CD2"/>
    <w:rsid w:val="001B3308"/>
    <w:rsid w:val="00244776"/>
    <w:rsid w:val="00296967"/>
    <w:rsid w:val="002D3473"/>
    <w:rsid w:val="00300DBF"/>
    <w:rsid w:val="003112FC"/>
    <w:rsid w:val="00391E33"/>
    <w:rsid w:val="003A01BE"/>
    <w:rsid w:val="003C4AD4"/>
    <w:rsid w:val="003D493F"/>
    <w:rsid w:val="00412C15"/>
    <w:rsid w:val="00415A0C"/>
    <w:rsid w:val="00445630"/>
    <w:rsid w:val="004A2601"/>
    <w:rsid w:val="004F4D82"/>
    <w:rsid w:val="0054775C"/>
    <w:rsid w:val="005A0B17"/>
    <w:rsid w:val="005A7AFC"/>
    <w:rsid w:val="005B0FD9"/>
    <w:rsid w:val="005F644C"/>
    <w:rsid w:val="00626A38"/>
    <w:rsid w:val="00672468"/>
    <w:rsid w:val="00741807"/>
    <w:rsid w:val="00743526"/>
    <w:rsid w:val="00905BDE"/>
    <w:rsid w:val="00937CD9"/>
    <w:rsid w:val="00951FD8"/>
    <w:rsid w:val="00964C78"/>
    <w:rsid w:val="009826E5"/>
    <w:rsid w:val="00A3081F"/>
    <w:rsid w:val="00A363FE"/>
    <w:rsid w:val="00A5277F"/>
    <w:rsid w:val="00A660DC"/>
    <w:rsid w:val="00A75800"/>
    <w:rsid w:val="00AC1688"/>
    <w:rsid w:val="00AF077C"/>
    <w:rsid w:val="00AF1C5E"/>
    <w:rsid w:val="00B24E22"/>
    <w:rsid w:val="00B60098"/>
    <w:rsid w:val="00B622C6"/>
    <w:rsid w:val="00B76C39"/>
    <w:rsid w:val="00BA7849"/>
    <w:rsid w:val="00C008E9"/>
    <w:rsid w:val="00C46D96"/>
    <w:rsid w:val="00C64F5E"/>
    <w:rsid w:val="00C67970"/>
    <w:rsid w:val="00CC43AE"/>
    <w:rsid w:val="00CC6130"/>
    <w:rsid w:val="00CE35EA"/>
    <w:rsid w:val="00DA7C01"/>
    <w:rsid w:val="00DE5FA0"/>
    <w:rsid w:val="00E15EB9"/>
    <w:rsid w:val="00E35D03"/>
    <w:rsid w:val="00E43203"/>
    <w:rsid w:val="00E5362F"/>
    <w:rsid w:val="00E65858"/>
    <w:rsid w:val="00EA3E90"/>
    <w:rsid w:val="00EC1FA7"/>
    <w:rsid w:val="00F269DF"/>
    <w:rsid w:val="00FE2F48"/>
    <w:rsid w:val="00FF3A42"/>
    <w:rsid w:val="07C531CC"/>
    <w:rsid w:val="1B4F2FA5"/>
    <w:rsid w:val="1C204ED5"/>
    <w:rsid w:val="28DE3F9A"/>
    <w:rsid w:val="31696B1C"/>
    <w:rsid w:val="32F8192F"/>
    <w:rsid w:val="33821465"/>
    <w:rsid w:val="338B58EE"/>
    <w:rsid w:val="3A021CB9"/>
    <w:rsid w:val="3EF20CFC"/>
    <w:rsid w:val="412D36E8"/>
    <w:rsid w:val="4CAF388B"/>
    <w:rsid w:val="4D2A3925"/>
    <w:rsid w:val="4D935B82"/>
    <w:rsid w:val="527327AA"/>
    <w:rsid w:val="58142281"/>
    <w:rsid w:val="5BDF2FF2"/>
    <w:rsid w:val="5DB33ED9"/>
    <w:rsid w:val="6519760A"/>
    <w:rsid w:val="7C2E5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ahoma" w:hAnsi="Tahoma" w:eastAsia="微软雅黑"/>
      <w:b/>
      <w:bCs/>
      <w:kern w:val="44"/>
      <w:sz w:val="30"/>
      <w:szCs w:val="44"/>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widowControl/>
      <w:adjustRightInd w:val="0"/>
      <w:snapToGrid w:val="0"/>
      <w:spacing w:after="200"/>
      <w:jc w:val="left"/>
    </w:pPr>
    <w:rPr>
      <w:rFonts w:ascii="Tahoma" w:hAnsi="Tahoma" w:eastAsia="微软雅黑"/>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styleId="10">
    <w:name w:val="footnote reference"/>
    <w:basedOn w:val="7"/>
    <w:unhideWhenUsed/>
    <w:qFormat/>
    <w:uiPriority w:val="99"/>
    <w:rPr>
      <w:vertAlign w:val="superscript"/>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标题 1 Char"/>
    <w:basedOn w:val="7"/>
    <w:link w:val="2"/>
    <w:qFormat/>
    <w:uiPriority w:val="9"/>
    <w:rPr>
      <w:rFonts w:ascii="Tahoma" w:hAnsi="Tahoma" w:eastAsia="微软雅黑"/>
      <w:b/>
      <w:bCs/>
      <w:kern w:val="44"/>
      <w:sz w:val="30"/>
      <w:szCs w:val="44"/>
    </w:rPr>
  </w:style>
  <w:style w:type="character" w:customStyle="1" w:styleId="15">
    <w:name w:val="标题 1 Char1"/>
    <w:basedOn w:val="7"/>
    <w:qFormat/>
    <w:uiPriority w:val="9"/>
    <w:rPr>
      <w:b/>
      <w:bCs/>
      <w:kern w:val="44"/>
      <w:sz w:val="44"/>
      <w:szCs w:val="44"/>
    </w:rPr>
  </w:style>
  <w:style w:type="character" w:customStyle="1" w:styleId="16">
    <w:name w:val="脚注文本 Char"/>
    <w:basedOn w:val="7"/>
    <w:link w:val="5"/>
    <w:semiHidden/>
    <w:qFormat/>
    <w:uiPriority w:val="99"/>
    <w:rPr>
      <w:rFonts w:ascii="Tahoma" w:hAnsi="Tahoma" w:eastAsia="微软雅黑"/>
      <w:kern w:val="0"/>
      <w:sz w:val="18"/>
      <w:szCs w:val="18"/>
    </w:rPr>
  </w:style>
  <w:style w:type="paragraph" w:customStyle="1" w:styleId="17">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B533D-6C51-44C9-B11D-49B8483F761C}">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Words>
  <Characters>1499</Characters>
  <Lines>12</Lines>
  <Paragraphs>3</Paragraphs>
  <ScaleCrop>false</ScaleCrop>
  <LinksUpToDate>false</LinksUpToDate>
  <CharactersWithSpaces>1758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2016-04-28T03:04:00Z</dcterms:created>
  <dc:creator>安鹏</dc:creator>
  <cp:lastModifiedBy>H</cp:lastModifiedBy>
  <cp:lastPrinted>2018-02-02T04:13:58Z</cp:lastPrinted>
  <dcterms:modified xsi:type="dcterms:W3CDTF">2018-02-02T07:09:48Z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